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E5" w:rsidRPr="00676DE5" w:rsidRDefault="00676DE5" w:rsidP="00676DE5">
      <w:pPr>
        <w:pBdr>
          <w:bottom w:val="single" w:sz="24" w:space="11" w:color="017AAF"/>
        </w:pBdr>
        <w:shd w:val="clear" w:color="auto" w:fill="FFFFFF"/>
        <w:spacing w:after="360" w:line="330" w:lineRule="atLeast"/>
        <w:outlineLvl w:val="1"/>
        <w:rPr>
          <w:rFonts w:ascii="Arial" w:eastAsia="Times New Roman" w:hAnsi="Arial" w:cs="Arial"/>
          <w:b/>
          <w:bCs/>
          <w:color w:val="000000"/>
          <w:kern w:val="36"/>
          <w:sz w:val="28"/>
          <w:szCs w:val="28"/>
          <w:lang w:eastAsia="sl-SI"/>
        </w:rPr>
      </w:pPr>
      <w:r w:rsidRPr="00676DE5">
        <w:rPr>
          <w:rFonts w:ascii="Arial" w:eastAsia="Times New Roman" w:hAnsi="Arial" w:cs="Arial"/>
          <w:b/>
          <w:bCs/>
          <w:color w:val="000000"/>
          <w:kern w:val="36"/>
          <w:sz w:val="28"/>
          <w:szCs w:val="28"/>
          <w:lang w:eastAsia="sl-SI"/>
        </w:rPr>
        <w:t>Enotni kontni okvir po 1. januarju 2013</w:t>
      </w:r>
    </w:p>
    <w:p w:rsidR="00676DE5" w:rsidRPr="00676DE5" w:rsidRDefault="00676DE5" w:rsidP="00676DE5">
      <w:pPr>
        <w:shd w:val="clear" w:color="auto" w:fill="FFFFFF"/>
        <w:spacing w:after="0" w:line="330" w:lineRule="atLeast"/>
        <w:rPr>
          <w:rFonts w:ascii="Arial" w:eastAsia="Times New Roman" w:hAnsi="Arial" w:cs="Arial"/>
          <w:sz w:val="20"/>
          <w:szCs w:val="20"/>
          <w:lang w:eastAsia="sl-SI"/>
        </w:rPr>
      </w:pPr>
    </w:p>
    <w:p w:rsidR="00676DE5" w:rsidRPr="00676DE5" w:rsidRDefault="00621881" w:rsidP="00676DE5">
      <w:pPr>
        <w:shd w:val="clear" w:color="auto" w:fill="FFFFFF"/>
        <w:spacing w:after="0" w:line="330" w:lineRule="atLeast"/>
        <w:jc w:val="center"/>
        <w:rPr>
          <w:rFonts w:ascii="Arial" w:eastAsia="Times New Roman" w:hAnsi="Arial" w:cs="Arial"/>
          <w:vanish/>
          <w:sz w:val="20"/>
          <w:szCs w:val="20"/>
          <w:lang w:eastAsia="sl-SI"/>
        </w:rPr>
      </w:pPr>
      <w:r w:rsidRPr="00621881">
        <w:rPr>
          <w:rFonts w:ascii="Arial" w:eastAsia="Times New Roman" w:hAnsi="Arial" w:cs="Arial"/>
          <w:vanish/>
          <w:sz w:val="20"/>
          <w:szCs w:val="20"/>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76DE5" w:rsidRPr="00676DE5" w:rsidRDefault="00676DE5" w:rsidP="00676DE5">
      <w:pPr>
        <w:shd w:val="clear" w:color="auto" w:fill="FFFFFF"/>
        <w:spacing w:after="0" w:line="330" w:lineRule="atLeast"/>
        <w:rPr>
          <w:rFonts w:ascii="Arial" w:eastAsia="Times New Roman" w:hAnsi="Arial" w:cs="Arial"/>
          <w:sz w:val="20"/>
          <w:szCs w:val="20"/>
          <w:lang w:eastAsia="sl-SI"/>
        </w:rPr>
      </w:pPr>
      <w:r w:rsidRPr="00676DE5">
        <w:rPr>
          <w:rFonts w:ascii="Arial" w:eastAsia="Times New Roman" w:hAnsi="Arial" w:cs="Arial"/>
          <w:sz w:val="20"/>
          <w:szCs w:val="20"/>
          <w:lang w:eastAsia="sl-SI"/>
        </w:rPr>
        <w:t xml:space="preserve">V Uradnem listu RS, št. 78/2012 z dne 15. 10. 2012 je objavljen Enotni kotni okvir za gospodarske družbe, samostojne podjetnike posameznike, kmečka gospodinjstva, zadruge, nepridobitne organizacije – pravne osebe zasebnega prava ter društva in invalidske organizacije. </w:t>
      </w:r>
      <w:r w:rsidRPr="00676DE5">
        <w:rPr>
          <w:rFonts w:ascii="Arial" w:eastAsia="Times New Roman" w:hAnsi="Arial" w:cs="Arial"/>
          <w:sz w:val="20"/>
          <w:szCs w:val="20"/>
          <w:lang w:eastAsia="sl-SI"/>
        </w:rPr>
        <w:br/>
      </w:r>
      <w:hyperlink r:id="rId4" w:tgtFrame="_blank" w:history="1">
        <w:r w:rsidRPr="00676DE5">
          <w:rPr>
            <w:rFonts w:ascii="Arial" w:eastAsia="Times New Roman" w:hAnsi="Arial" w:cs="Arial"/>
            <w:color w:val="0095D6"/>
            <w:sz w:val="20"/>
            <w:szCs w:val="20"/>
            <w:u w:val="single"/>
            <w:lang w:eastAsia="sl-SI"/>
          </w:rPr>
          <w:br/>
          <w:t xml:space="preserve">Enotni kontni okvir </w:t>
        </w:r>
      </w:hyperlink>
      <w:r w:rsidRPr="00676DE5">
        <w:rPr>
          <w:rFonts w:ascii="Arial" w:eastAsia="Times New Roman" w:hAnsi="Arial" w:cs="Arial"/>
          <w:sz w:val="20"/>
          <w:szCs w:val="20"/>
          <w:lang w:eastAsia="sl-SI"/>
        </w:rPr>
        <w:t>nadomešča pet do sedaj veljavnih kontnih okvirov in katerega uporaba je obvezna od 1. januarja 2013 dalje. S tem naj bi bili doseženi najvišja stopnja poenotenja računovodskega spremljanja poslovnih dogodkov in velika racionalizacija poslovanja predvsem računovodskih servisov. Vendar pa ne gre samo za združitev prej samostojnih kontnih okvirov. Enotni kontni okvir in na njegovi podlagi priporočeni kontni načrt prinašata tudi nekatere vsebinske spremembe.</w:t>
      </w:r>
    </w:p>
    <w:p w:rsidR="00676DE5" w:rsidRPr="00676DE5" w:rsidRDefault="00676DE5" w:rsidP="00676DE5">
      <w:pPr>
        <w:shd w:val="clear" w:color="auto" w:fill="FFFFFF"/>
        <w:spacing w:after="150" w:line="240" w:lineRule="atLeast"/>
        <w:outlineLvl w:val="4"/>
        <w:rPr>
          <w:rFonts w:ascii="Arial" w:eastAsia="Times New Roman" w:hAnsi="Arial" w:cs="Arial"/>
          <w:b/>
          <w:bCs/>
          <w:sz w:val="20"/>
          <w:szCs w:val="20"/>
          <w:lang w:eastAsia="sl-SI"/>
        </w:rPr>
      </w:pPr>
      <w:r w:rsidRPr="00676DE5">
        <w:rPr>
          <w:rFonts w:ascii="Arial" w:eastAsia="Times New Roman" w:hAnsi="Arial" w:cs="Arial"/>
          <w:b/>
          <w:bCs/>
          <w:sz w:val="20"/>
          <w:szCs w:val="20"/>
          <w:lang w:eastAsia="sl-SI"/>
        </w:rPr>
        <w:t>Spremembe za gospodarske družbe</w:t>
      </w:r>
    </w:p>
    <w:p w:rsidR="00676DE5" w:rsidRPr="00676DE5" w:rsidRDefault="00676DE5" w:rsidP="00676DE5">
      <w:pPr>
        <w:shd w:val="clear" w:color="auto" w:fill="FFFFFF"/>
        <w:spacing w:after="240" w:line="330" w:lineRule="atLeast"/>
        <w:rPr>
          <w:rFonts w:ascii="Arial" w:eastAsia="Times New Roman" w:hAnsi="Arial" w:cs="Arial"/>
          <w:sz w:val="20"/>
          <w:szCs w:val="20"/>
          <w:lang w:eastAsia="sl-SI"/>
        </w:rPr>
      </w:pPr>
      <w:r w:rsidRPr="00676DE5">
        <w:rPr>
          <w:rFonts w:ascii="Arial" w:eastAsia="Times New Roman" w:hAnsi="Arial" w:cs="Arial"/>
          <w:sz w:val="20"/>
          <w:szCs w:val="20"/>
          <w:lang w:eastAsia="sl-SI"/>
        </w:rPr>
        <w:t>Zakon o gospodarski družbah (ZGD-1) navaja v 54. členu razrede kontov od 0 do 9 ter skupine kontov od 00 do 99, medtem ko poimenovanje razredov in skupin ter podrobnejšo členitev prepušča računovodski stroki. Medtem ko razredi kontov ostajajo nespremenjeni, pa v okviru skupin kontov in posameznih kontov iz priporočenega kontnega načrta, katerega uporaba ni obvezna, prihaja do različnih sprememb:</w:t>
      </w:r>
    </w:p>
    <w:p w:rsidR="00676DE5" w:rsidRPr="00676DE5" w:rsidRDefault="00676DE5" w:rsidP="00676DE5">
      <w:pPr>
        <w:shd w:val="clear" w:color="auto" w:fill="FFFFFF"/>
        <w:spacing w:after="0" w:line="330" w:lineRule="atLeast"/>
        <w:rPr>
          <w:rFonts w:ascii="Arial" w:eastAsia="Times New Roman" w:hAnsi="Arial" w:cs="Arial"/>
          <w:sz w:val="20"/>
          <w:szCs w:val="20"/>
          <w:lang w:eastAsia="sl-SI"/>
        </w:rPr>
      </w:pPr>
      <w:r w:rsidRPr="00676DE5">
        <w:rPr>
          <w:rFonts w:ascii="Arial" w:eastAsia="Times New Roman" w:hAnsi="Arial" w:cs="Arial"/>
          <w:sz w:val="20"/>
          <w:szCs w:val="20"/>
          <w:lang w:eastAsia="sl-SI"/>
        </w:rPr>
        <w:t>Nekaterim kontom se spremeni naziv. Primer: KTO 003 - Premoženjske pravice se preimenuje v Premoženjske in druge pravice.</w:t>
      </w:r>
      <w:r w:rsidRPr="00676DE5">
        <w:rPr>
          <w:rFonts w:ascii="Arial" w:eastAsia="Times New Roman" w:hAnsi="Arial" w:cs="Arial"/>
          <w:sz w:val="20"/>
          <w:szCs w:val="20"/>
          <w:lang w:eastAsia="sl-SI"/>
        </w:rPr>
        <w:br/>
      </w:r>
      <w:r w:rsidRPr="00676DE5">
        <w:rPr>
          <w:rFonts w:ascii="Arial" w:eastAsia="Times New Roman" w:hAnsi="Arial" w:cs="Arial"/>
          <w:sz w:val="20"/>
          <w:szCs w:val="20"/>
          <w:lang w:eastAsia="sl-SI"/>
        </w:rPr>
        <w:br/>
        <w:t>Nekateri konti dobijo druge šifre v isti skupini, ker njihovo mesto zasede neka nova kategorija. Primer: konto 275 - Kratkoročne obveznosti v zvezi z razdelitvijo poslovnega izida postane konto 277, konto 275 pa je v priporočenem kontnem načrtu namenjen kratkoročnim obveznostim iz finančnega najema (zdajšnji kontni načrt ni imel predlaganega konta za tovrstne obveznosti).</w:t>
      </w:r>
      <w:r w:rsidRPr="00676DE5">
        <w:rPr>
          <w:rFonts w:ascii="Arial" w:eastAsia="Times New Roman" w:hAnsi="Arial" w:cs="Arial"/>
          <w:sz w:val="20"/>
          <w:szCs w:val="20"/>
          <w:lang w:eastAsia="sl-SI"/>
        </w:rPr>
        <w:br/>
      </w:r>
      <w:r w:rsidRPr="00676DE5">
        <w:rPr>
          <w:rFonts w:ascii="Arial" w:eastAsia="Times New Roman" w:hAnsi="Arial" w:cs="Arial"/>
          <w:sz w:val="20"/>
          <w:szCs w:val="20"/>
          <w:lang w:eastAsia="sl-SI"/>
        </w:rPr>
        <w:br/>
        <w:t>Primer spremenjene razvrstitve gospodarskih kategorij v okviru skupin kontov so stroški rezervacij za odpravnine ob odhodu v pokoj, uvrščene med stroške dela (iz skupine 44 v skupino 47).</w:t>
      </w:r>
    </w:p>
    <w:p w:rsidR="00676DE5" w:rsidRPr="00676DE5" w:rsidRDefault="00676DE5" w:rsidP="00676DE5">
      <w:pPr>
        <w:shd w:val="clear" w:color="auto" w:fill="FFFFFF"/>
        <w:spacing w:after="0" w:line="330" w:lineRule="atLeast"/>
        <w:rPr>
          <w:rFonts w:ascii="Arial" w:eastAsia="Times New Roman" w:hAnsi="Arial" w:cs="Arial"/>
          <w:sz w:val="20"/>
          <w:szCs w:val="20"/>
          <w:lang w:eastAsia="sl-SI"/>
        </w:rPr>
      </w:pPr>
      <w:r w:rsidRPr="00676DE5">
        <w:rPr>
          <w:rFonts w:ascii="Arial" w:eastAsia="Times New Roman" w:hAnsi="Arial" w:cs="Arial"/>
          <w:sz w:val="20"/>
          <w:szCs w:val="20"/>
          <w:lang w:eastAsia="sl-SI"/>
        </w:rPr>
        <w:br/>
        <w:t>Zdajšnji kontni okvir je zelo skopo pokrival kmetijstvo. Tako je med dolgoročnimi sredstvi konto 043 - Biološka sredstva namenjen samo še večletnim nasadom, medtem ko je osnovna čreda dobila svoj konto s šifro 044. Prav kmetijstvo je vzrok za dve novi skupini kontov (skupina 61 in 62), ki vključujeta zaloge pridelkov (pospravljenih) iz bioloških sredstev. Dodani pa so bili tudi novi konti v skupini 63 - Proizvodi. Naj ob tem opozorimo, da je bila zbirka SRS v letu 2012 spremenjena prav v delu kmetijstva.</w:t>
      </w:r>
    </w:p>
    <w:p w:rsidR="00676DE5" w:rsidRPr="00676DE5" w:rsidRDefault="00676DE5" w:rsidP="00676DE5">
      <w:pPr>
        <w:shd w:val="clear" w:color="auto" w:fill="FFFFFF"/>
        <w:spacing w:after="150" w:line="240" w:lineRule="atLeast"/>
        <w:outlineLvl w:val="4"/>
        <w:rPr>
          <w:rFonts w:ascii="Arial" w:eastAsia="Times New Roman" w:hAnsi="Arial" w:cs="Arial"/>
          <w:b/>
          <w:bCs/>
          <w:sz w:val="20"/>
          <w:szCs w:val="20"/>
          <w:lang w:eastAsia="sl-SI"/>
        </w:rPr>
      </w:pPr>
      <w:r w:rsidRPr="00676DE5">
        <w:rPr>
          <w:rFonts w:ascii="Arial" w:eastAsia="Times New Roman" w:hAnsi="Arial" w:cs="Arial"/>
          <w:b/>
          <w:bCs/>
          <w:sz w:val="20"/>
          <w:szCs w:val="20"/>
          <w:lang w:eastAsia="sl-SI"/>
        </w:rPr>
        <w:br/>
      </w:r>
      <w:r w:rsidRPr="00676DE5">
        <w:rPr>
          <w:rFonts w:ascii="Arial" w:eastAsia="Times New Roman" w:hAnsi="Arial" w:cs="Arial"/>
          <w:b/>
          <w:bCs/>
          <w:sz w:val="20"/>
          <w:szCs w:val="20"/>
          <w:lang w:eastAsia="sl-SI"/>
        </w:rPr>
        <w:br/>
        <w:t>Kaj spremembe pomenijo za računovodje in informatike</w:t>
      </w:r>
    </w:p>
    <w:p w:rsidR="00676DE5" w:rsidRPr="00676DE5" w:rsidRDefault="00676DE5" w:rsidP="00676DE5">
      <w:pPr>
        <w:shd w:val="clear" w:color="auto" w:fill="FFFFFF"/>
        <w:spacing w:after="0" w:line="330" w:lineRule="atLeast"/>
        <w:rPr>
          <w:rFonts w:ascii="Arial" w:eastAsia="Times New Roman" w:hAnsi="Arial" w:cs="Arial"/>
          <w:sz w:val="20"/>
          <w:szCs w:val="20"/>
          <w:lang w:eastAsia="sl-SI"/>
        </w:rPr>
      </w:pPr>
      <w:r w:rsidRPr="00676DE5">
        <w:rPr>
          <w:rFonts w:ascii="Arial" w:eastAsia="Times New Roman" w:hAnsi="Arial" w:cs="Arial"/>
          <w:sz w:val="20"/>
          <w:szCs w:val="20"/>
          <w:lang w:eastAsia="sl-SI"/>
        </w:rPr>
        <w:t xml:space="preserve">Na operativni ravni bodo računovodje in informatiki morali poskrbeti za postavitev šifrantov, ki bodo skladni z novim kontnim okvirom. To bo pomenilo prenose stanj pri gospodarskih kategorijah na nove </w:t>
      </w:r>
      <w:r w:rsidRPr="00676DE5">
        <w:rPr>
          <w:rFonts w:ascii="Arial" w:eastAsia="Times New Roman" w:hAnsi="Arial" w:cs="Arial"/>
          <w:sz w:val="20"/>
          <w:szCs w:val="20"/>
          <w:lang w:eastAsia="sl-SI"/>
        </w:rPr>
        <w:lastRenderedPageBreak/>
        <w:t>šifre - bodisi s konta na konto ali pa bo treba en konto razdeliti. Nekaj, česar je praksa že vajena. Spomnite se na prenos obveznosti s finančnih najemov, ki so bile razvrščene med poslovne obveznosti, na finančne obveznosti, kamor so po svoji vsebini vedno sodile.</w:t>
      </w:r>
    </w:p>
    <w:p w:rsidR="00676DE5" w:rsidRPr="00676DE5" w:rsidRDefault="00676DE5" w:rsidP="00676DE5">
      <w:pPr>
        <w:shd w:val="clear" w:color="auto" w:fill="FFFFFF"/>
        <w:spacing w:line="240" w:lineRule="atLeast"/>
        <w:outlineLvl w:val="4"/>
        <w:rPr>
          <w:rFonts w:ascii="Arial" w:eastAsia="Times New Roman" w:hAnsi="Arial" w:cs="Arial"/>
          <w:b/>
          <w:bCs/>
          <w:sz w:val="20"/>
          <w:szCs w:val="20"/>
          <w:lang w:eastAsia="sl-SI"/>
        </w:rPr>
      </w:pPr>
      <w:r w:rsidRPr="00676DE5">
        <w:rPr>
          <w:rFonts w:ascii="Arial" w:eastAsia="Times New Roman" w:hAnsi="Arial" w:cs="Arial"/>
          <w:b/>
          <w:bCs/>
          <w:sz w:val="20"/>
          <w:szCs w:val="20"/>
          <w:lang w:eastAsia="sl-SI"/>
        </w:rPr>
        <w:br/>
      </w:r>
      <w:r w:rsidRPr="00676DE5">
        <w:rPr>
          <w:rFonts w:ascii="Arial" w:eastAsia="Times New Roman" w:hAnsi="Arial" w:cs="Arial"/>
          <w:b/>
          <w:bCs/>
          <w:sz w:val="20"/>
          <w:szCs w:val="20"/>
          <w:lang w:eastAsia="sl-SI"/>
        </w:rPr>
        <w:br/>
        <w:t>Zagotoviti primerljivost računovodskih izkazov</w:t>
      </w:r>
    </w:p>
    <w:p w:rsidR="002F16D3" w:rsidRDefault="00676DE5" w:rsidP="00676DE5">
      <w:r w:rsidRPr="00676DE5">
        <w:rPr>
          <w:rFonts w:ascii="Arial" w:eastAsia="Times New Roman" w:hAnsi="Arial" w:cs="Arial"/>
          <w:sz w:val="20"/>
          <w:szCs w:val="20"/>
          <w:lang w:eastAsia="sl-SI"/>
        </w:rPr>
        <w:t xml:space="preserve">Pri poročanju v letu 2013 bo treba prerazvrstiti nekatere kategorije iz leta 2012, da bodo računovodski izkazi obeh let primerljivi. V zvezi s spremembo pri razvrstitvi stroškov za oblikovanje rezervacij za odpravnine ob odhodu v pokoj se postavlja vprašanje, ali gre v tem primeru za prisilno spremembo računovodske usmeritve glede razkrivanja, za katero je vzrok v spremembi kontnega okvira, saj se računovodski standardi niso spremenili. </w:t>
      </w:r>
      <w:r w:rsidRPr="00676DE5">
        <w:rPr>
          <w:rFonts w:ascii="Arial" w:eastAsia="Times New Roman" w:hAnsi="Arial" w:cs="Arial"/>
          <w:sz w:val="20"/>
          <w:szCs w:val="20"/>
          <w:lang w:eastAsia="sl-SI"/>
        </w:rPr>
        <w:br/>
      </w:r>
      <w:r w:rsidRPr="00676DE5">
        <w:rPr>
          <w:rFonts w:ascii="Arial" w:eastAsia="Times New Roman" w:hAnsi="Arial" w:cs="Arial"/>
          <w:sz w:val="20"/>
          <w:szCs w:val="20"/>
          <w:lang w:eastAsia="sl-SI"/>
        </w:rPr>
        <w:br/>
        <w:t xml:space="preserve">Vir: Uradni list in </w:t>
      </w:r>
      <w:proofErr w:type="spellStart"/>
      <w:r w:rsidRPr="00676DE5">
        <w:rPr>
          <w:rFonts w:ascii="Arial" w:eastAsia="Times New Roman" w:hAnsi="Arial" w:cs="Arial"/>
          <w:sz w:val="20"/>
          <w:szCs w:val="20"/>
          <w:lang w:eastAsia="sl-SI"/>
        </w:rPr>
        <w:t>Finance.si</w:t>
      </w:r>
      <w:proofErr w:type="spellEnd"/>
    </w:p>
    <w:sectPr w:rsidR="002F16D3" w:rsidSect="002F16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6DE5"/>
    <w:rsid w:val="00036459"/>
    <w:rsid w:val="00040303"/>
    <w:rsid w:val="00131F6D"/>
    <w:rsid w:val="00185A84"/>
    <w:rsid w:val="002F16D3"/>
    <w:rsid w:val="003231C9"/>
    <w:rsid w:val="003554AF"/>
    <w:rsid w:val="003A1A1E"/>
    <w:rsid w:val="003B0D45"/>
    <w:rsid w:val="00406F78"/>
    <w:rsid w:val="00513560"/>
    <w:rsid w:val="00545D9F"/>
    <w:rsid w:val="00621881"/>
    <w:rsid w:val="00676DE5"/>
    <w:rsid w:val="006A59E5"/>
    <w:rsid w:val="0071523D"/>
    <w:rsid w:val="007335E1"/>
    <w:rsid w:val="00836497"/>
    <w:rsid w:val="009173B6"/>
    <w:rsid w:val="00922E35"/>
    <w:rsid w:val="00964E57"/>
    <w:rsid w:val="00975986"/>
    <w:rsid w:val="009E52EF"/>
    <w:rsid w:val="00A60C45"/>
    <w:rsid w:val="00B67989"/>
    <w:rsid w:val="00BC4547"/>
    <w:rsid w:val="00BF7AC1"/>
    <w:rsid w:val="00C10D4B"/>
    <w:rsid w:val="00C67B5C"/>
    <w:rsid w:val="00CB7578"/>
    <w:rsid w:val="00D8254A"/>
    <w:rsid w:val="00D9639B"/>
    <w:rsid w:val="00DD1896"/>
    <w:rsid w:val="00E35913"/>
    <w:rsid w:val="00E454EF"/>
    <w:rsid w:val="00E50A3E"/>
    <w:rsid w:val="00F00645"/>
    <w:rsid w:val="00F139A1"/>
    <w:rsid w:val="00F162B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141597">
      <w:bodyDiv w:val="1"/>
      <w:marLeft w:val="0"/>
      <w:marRight w:val="0"/>
      <w:marTop w:val="0"/>
      <w:marBottom w:val="0"/>
      <w:divBdr>
        <w:top w:val="none" w:sz="0" w:space="0" w:color="auto"/>
        <w:left w:val="none" w:sz="0" w:space="0" w:color="auto"/>
        <w:bottom w:val="none" w:sz="0" w:space="0" w:color="auto"/>
        <w:right w:val="none" w:sz="0" w:space="0" w:color="auto"/>
      </w:divBdr>
      <w:divsChild>
        <w:div w:id="1177696428">
          <w:marLeft w:val="0"/>
          <w:marRight w:val="0"/>
          <w:marTop w:val="0"/>
          <w:marBottom w:val="0"/>
          <w:divBdr>
            <w:top w:val="none" w:sz="0" w:space="0" w:color="auto"/>
            <w:left w:val="none" w:sz="0" w:space="0" w:color="auto"/>
            <w:bottom w:val="none" w:sz="0" w:space="0" w:color="auto"/>
            <w:right w:val="none" w:sz="0" w:space="0" w:color="auto"/>
          </w:divBdr>
          <w:divsChild>
            <w:div w:id="704525591">
              <w:marLeft w:val="0"/>
              <w:marRight w:val="0"/>
              <w:marTop w:val="0"/>
              <w:marBottom w:val="0"/>
              <w:divBdr>
                <w:top w:val="none" w:sz="0" w:space="0" w:color="auto"/>
                <w:left w:val="none" w:sz="0" w:space="0" w:color="auto"/>
                <w:bottom w:val="none" w:sz="0" w:space="0" w:color="auto"/>
                <w:right w:val="none" w:sz="0" w:space="0" w:color="auto"/>
              </w:divBdr>
              <w:divsChild>
                <w:div w:id="747312981">
                  <w:marLeft w:val="0"/>
                  <w:marRight w:val="0"/>
                  <w:marTop w:val="0"/>
                  <w:marBottom w:val="0"/>
                  <w:divBdr>
                    <w:top w:val="none" w:sz="0" w:space="0" w:color="auto"/>
                    <w:left w:val="none" w:sz="0" w:space="0" w:color="auto"/>
                    <w:bottom w:val="none" w:sz="0" w:space="0" w:color="auto"/>
                    <w:right w:val="none" w:sz="0" w:space="0" w:color="auto"/>
                  </w:divBdr>
                  <w:divsChild>
                    <w:div w:id="2129932379">
                      <w:marLeft w:val="0"/>
                      <w:marRight w:val="0"/>
                      <w:marTop w:val="0"/>
                      <w:marBottom w:val="450"/>
                      <w:divBdr>
                        <w:top w:val="none" w:sz="0" w:space="0" w:color="auto"/>
                        <w:left w:val="none" w:sz="0" w:space="0" w:color="auto"/>
                        <w:bottom w:val="none" w:sz="0" w:space="0" w:color="auto"/>
                        <w:right w:val="none" w:sz="0" w:space="0" w:color="auto"/>
                      </w:divBdr>
                      <w:divsChild>
                        <w:div w:id="1252660152">
                          <w:marLeft w:val="0"/>
                          <w:marRight w:val="0"/>
                          <w:marTop w:val="0"/>
                          <w:marBottom w:val="0"/>
                          <w:divBdr>
                            <w:top w:val="none" w:sz="0" w:space="0" w:color="auto"/>
                            <w:left w:val="none" w:sz="0" w:space="0" w:color="auto"/>
                            <w:bottom w:val="none" w:sz="0" w:space="0" w:color="auto"/>
                            <w:right w:val="none" w:sz="0" w:space="0" w:color="auto"/>
                          </w:divBdr>
                          <w:divsChild>
                            <w:div w:id="1920097324">
                              <w:marLeft w:val="0"/>
                              <w:marRight w:val="0"/>
                              <w:marTop w:val="0"/>
                              <w:marBottom w:val="0"/>
                              <w:divBdr>
                                <w:top w:val="none" w:sz="0" w:space="0" w:color="auto"/>
                                <w:left w:val="single" w:sz="48" w:space="0" w:color="FFFFFF"/>
                                <w:bottom w:val="single" w:sz="48" w:space="0" w:color="FFFFFF"/>
                                <w:right w:val="none" w:sz="0" w:space="0" w:color="auto"/>
                              </w:divBdr>
                            </w:div>
                            <w:div w:id="622006735">
                              <w:marLeft w:val="600"/>
                              <w:marRight w:val="0"/>
                              <w:marTop w:val="0"/>
                              <w:marBottom w:val="0"/>
                              <w:divBdr>
                                <w:top w:val="none" w:sz="0" w:space="0" w:color="auto"/>
                                <w:left w:val="none" w:sz="0" w:space="0" w:color="auto"/>
                                <w:bottom w:val="none" w:sz="0" w:space="0" w:color="auto"/>
                                <w:right w:val="none" w:sz="0" w:space="0" w:color="auto"/>
                              </w:divBdr>
                            </w:div>
                            <w:div w:id="7850811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op.si/poslovne-informacije/novice/nova-zakonodaja/enotni-kotni-okvir-za-gospodarske-druzbe-samostojne-podjetnike-posameznike-kmecka-gospodinjstva-zadr/"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C2B663BE9BC4082139CFA10DA7C2A" ma:contentTypeVersion="0" ma:contentTypeDescription="Create a new document." ma:contentTypeScope="" ma:versionID="f22e3513f5a3b8fa16c42b70fee955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9D354-06AF-4B5F-92BF-960F48BC3A5C}"/>
</file>

<file path=customXml/itemProps2.xml><?xml version="1.0" encoding="utf-8"?>
<ds:datastoreItem xmlns:ds="http://schemas.openxmlformats.org/officeDocument/2006/customXml" ds:itemID="{6F70D413-918A-418B-BB1E-A2E96901894A}"/>
</file>

<file path=customXml/itemProps3.xml><?xml version="1.0" encoding="utf-8"?>
<ds:datastoreItem xmlns:ds="http://schemas.openxmlformats.org/officeDocument/2006/customXml" ds:itemID="{CE862F75-B789-4B2E-82AE-3AD791678ECA}"/>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3113</Characters>
  <Application>Microsoft Office Word</Application>
  <DocSecurity>0</DocSecurity>
  <Lines>25</Lines>
  <Paragraphs>7</Paragraphs>
  <ScaleCrop>false</ScaleCrop>
  <Company>HP</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Zdenka Selšek Manjulov</dc:creator>
  <cp:lastModifiedBy>milena</cp:lastModifiedBy>
  <cp:revision>2</cp:revision>
  <dcterms:created xsi:type="dcterms:W3CDTF">2013-01-07T08:27:00Z</dcterms:created>
  <dcterms:modified xsi:type="dcterms:W3CDTF">2013-01-07T08:27:00Z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0x010100F1EC2B663BE9BC4082139CFA10DA7C2A</vt:lpwstr>
  </property>
</Properties>
</file>